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c00000"/>
          <w:sz w:val="24"/>
          <w:szCs w:val="24"/>
          <w:rtl w:val="0"/>
        </w:rPr>
        <w:t xml:space="preserve">УДК, например, 004.056  и рубрика (по номенклатуре ВАК) статьи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(шрифт красного цвета)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НАЗВАНИЕ СТАТЬИ (</w:t>
      </w:r>
      <w:r w:rsidDel="00000000" w:rsidR="00000000" w:rsidRPr="00000000">
        <w:rPr>
          <w:rFonts w:ascii="Calibri" w:cs="Calibri" w:eastAsia="Calibri" w:hAnsi="Calibri"/>
          <w:color w:val="ff0000"/>
          <w:sz w:val="17"/>
          <w:szCs w:val="17"/>
          <w:vertAlign w:val="superscript"/>
          <w:rtl w:val="0"/>
        </w:rPr>
        <w:t xml:space="preserve">рекомендуется короткое, чтобы не возникло проблемы ключевых слов и проблем понимания на английском языке)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135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Максимов П.В.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Панфилов П.Б.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Фамилия 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ff0000"/>
          <w:sz w:val="19"/>
          <w:szCs w:val="19"/>
          <w:vertAlign w:val="superscript"/>
          <w:rtl w:val="0"/>
        </w:rPr>
        <w:t xml:space="preserve">полная информация указывается в сноске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авторов через запятую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Ключевые слова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 через запятую 7-11 слов или словосочетаний, не совпадающих с терминами из названия статьи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55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Аннотация. 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Состоит из четрех явно выделенных абзацев:</w:t>
      </w:r>
    </w:p>
    <w:p w:rsidR="00000000" w:rsidDel="00000000" w:rsidP="00000000" w:rsidRDefault="00000000" w:rsidRPr="00000000" w14:paraId="00000007">
      <w:pPr>
        <w:spacing w:after="0" w:line="240" w:lineRule="auto"/>
        <w:ind w:firstLine="555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 работы (одно-два предложения):состоит в анализе и разработке…….  </w:t>
      </w:r>
    </w:p>
    <w:p w:rsidR="00000000" w:rsidDel="00000000" w:rsidP="00000000" w:rsidRDefault="00000000" w:rsidRPr="00000000" w14:paraId="00000008">
      <w:pPr>
        <w:spacing w:after="0" w:line="240" w:lineRule="auto"/>
        <w:ind w:firstLine="555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Метод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 исследования: (три-четыре предложения, при затруднениях можно опустить), 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0" w:line="240" w:lineRule="auto"/>
        <w:ind w:firstLine="555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Результаты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 исследования: что дало.  Рекомендуется придерживаться ГОСТ 7.9-95, </w:t>
      </w:r>
    </w:p>
    <w:p w:rsidR="00000000" w:rsidDel="00000000" w:rsidP="00000000" w:rsidRDefault="00000000" w:rsidRPr="00000000" w14:paraId="0000000A">
      <w:pPr>
        <w:spacing w:after="0" w:line="240" w:lineRule="auto"/>
        <w:ind w:firstLine="55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объем этого абзаца не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МЕНЕЕ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100 слов и не более 200.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0" w:line="240" w:lineRule="auto"/>
        <w:ind w:firstLine="555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Научная новизна: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содержит 1-2 предложения, описывающих научную новизну исследования.</w:t>
      </w:r>
    </w:p>
    <w:p w:rsidR="00000000" w:rsidDel="00000000" w:rsidP="00000000" w:rsidRDefault="00000000" w:rsidRPr="00000000" w14:paraId="0000000C">
      <w:pPr>
        <w:spacing w:after="0" w:line="240" w:lineRule="auto"/>
        <w:ind w:firstLine="555"/>
        <w:rPr>
          <w:rFonts w:ascii="Quattrocento Sans" w:cs="Quattrocento Sans" w:eastAsia="Quattrocento Sans" w:hAnsi="Quattrocento Sans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Если авторов больше 3х, то расписать вклад каждого автора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DOI: 10.21681/ заполняет редакция</w:t>
      </w:r>
    </w:p>
    <w:p w:rsidR="00000000" w:rsidDel="00000000" w:rsidP="00000000" w:rsidRDefault="00000000" w:rsidRPr="00000000" w14:paraId="0000000E">
      <w:pPr>
        <w:spacing w:after="0" w:line="240" w:lineRule="auto"/>
        <w:ind w:firstLine="555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555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 статьи (20000 минимум без учета Литературы – более 30000 тыс. символов) должен включать следующие заголовки: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 и постановка задачи или цель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 решение поставленной задачи, результаты  и/или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 РУБРИКАЦИЯ СТАТЬИ ОБЯЗАТЕЛЬНА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555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статьи, ключевые слова, аннотация должны быть переведены на качественный английский язык (статья с машинным переводом отклоняется сразу без рассмотрения. Лучше не переводить, чем машинный перевод)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5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Строго не рекомендуются к публикации статьи, в которых отсутствует формализованное решение задачи. </w:t>
      </w:r>
    </w:p>
    <w:p w:rsidR="00000000" w:rsidDel="00000000" w:rsidP="00000000" w:rsidRDefault="00000000" w:rsidRPr="00000000" w14:paraId="00000012">
      <w:pPr>
        <w:spacing w:after="0" w:line="240" w:lineRule="auto"/>
        <w:ind w:firstLine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Рисунки и таблицы должны быть пронумерованы последовательно в порядке упоминания в тексте, ссылки на них приводятся в круглых скобках, например: (рис.1), (табл.1). Рисунки дополнительно предоставляются в графических форматах tiff или jpg, png с разрешением 300 dpi для размера в публикации.</w:t>
      </w:r>
    </w:p>
    <w:p w:rsidR="00000000" w:rsidDel="00000000" w:rsidP="00000000" w:rsidRDefault="00000000" w:rsidRPr="00000000" w14:paraId="00000013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Quattrocento Sans" w:cs="Quattrocento Sans" w:eastAsia="Quattrocento Sans" w:hAnsi="Quattrocento Sans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Рис.1. Подпись к рисунку (шрифт 10, курсив)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Quattrocento Sans" w:cs="Quattrocento Sans" w:eastAsia="Quattrocento Sans" w:hAnsi="Quattrocento Sans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Таблица 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Quattrocento Sans" w:cs="Quattrocento Sans" w:eastAsia="Quattrocento Sans" w:hAnsi="Quattrocento Sans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Заголовок таблицы </w:t>
      </w:r>
      <w:r w:rsidDel="00000000" w:rsidR="00000000" w:rsidRPr="00000000">
        <w:rPr>
          <w:rtl w:val="0"/>
        </w:rPr>
      </w:r>
    </w:p>
    <w:tbl>
      <w:tblPr>
        <w:tblStyle w:val="Table1"/>
        <w:tblW w:w="937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407"/>
        <w:gridCol w:w="4372"/>
        <w:gridCol w:w="3594"/>
        <w:tblGridChange w:id="0">
          <w:tblGrid>
            <w:gridCol w:w="1407"/>
            <w:gridCol w:w="4372"/>
            <w:gridCol w:w="3594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 п/п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Поле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Поле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Значение 11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Значение 12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Значение 21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Значение 22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Текст статьи может содержать дополнительные заголовки, если так считает автор, однако это должно вытекать из содержания.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выводах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в обязательном порядке следует отметить: что сделано, какой достигнут эффект в какой научной области. Отдельно следует строго отметить практическое подтверждение/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достоверность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предлагаемых научных решений.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Если работа проводилась при финансовой поддержке (к примеру, в рамках гранта РФФИ), в конце статьи это целесообразно указать.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55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нумеруется в порядке, упоминаемом в тексте (примеры ссылок по тексту: [1], [2, 5], [3, с. 123]). Рекомендуемое количество литературных источников: 10-25. Настоятельно рекомендуется ссылаться на журнальные статьи, представленные в elibrary.ru или иных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научных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базах ЗА ПОСЛЕДНИЕ 5 лет (Требование ВАК). Для обзора использование источников допустимо за 10 лет – если вся статья обзор. Запрещается ссылаться на неиндексируемые литературные источники, как-то: стандарты и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анонимные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публикации, а также на ненаучные источники (например, Википедию, газеты). Литературный источник приводится строго по ГОСТ Р 7.0.5-2008 либо как он отображается в elibrary.ru (или Scopus и WoS).  </w:t>
      </w:r>
    </w:p>
    <w:p w:rsidR="00000000" w:rsidDel="00000000" w:rsidP="00000000" w:rsidRDefault="00000000" w:rsidRPr="00000000" w14:paraId="00000029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Источники, которые не отвечают требованиям новизны в 5 лет, или официальные документы, или учебники, или не научные источники (газета, сообщение в Интернете) помещаются в постраничные сноски – их число не ограничено.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перечня литературы представлен ниже (это не библиографический список, как в диссертации).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555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5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Литература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(не библиография, не список)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1.Агамиров К.В. Замкнутые круги бюрократического омута. Тысячи россиян становятся жертвами неразберихи между ГИБДД, налоговиками и судебными приставами // Независимая газета. 10.11.2016. URL: http://www.ng.ru/politics/2016-11-10/3_6854_ kartblansh.html (дата обращения: 29.10.2020).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2. Тихомиров Ю.А. Правоприменение: от эпизодичности к целевой результативности // Журнал российского права. 2017. № 1. С. 55—62.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3. Рыбаков О.Ю. Качество жизни, благополучие человека, ценность права в условиях цифровой реальности // Человек, общество, право в условиях цифровой реальности: сборник статей / Под ред. О.Ю. Рыбакова. М. : Русайнс, 2020. С. 15—31. 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4. Lovtsov D. A., Gavrilov D. A. Automated special purpose optical electronic system’s functional diagnosis // Proceedings of International Seminar on Electron Devices Design and Production, SED-2019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(23 – 24 April 2019).  Prague, Czech Republic: IEEE, 2019.  P. 70 –73.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5. Карцхия А.А. Облачные технологии: российское и зарубежное законодательство и практика правоприменения // 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Мониторинг правоприменения. 2018. № 2(27). С. 36-41.  DOI: 10.21681/2226-0692-2018-2-36-41. 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6. Захарцев С.И., Сальников В.П. Философия. Философия права. Юридическая наука.   Юрлитинформ.  М. 2015.  264 с.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7. Ловцов Д.А., Богданова М.В., Паршинцева Л.С. Правовая статистика преступности в современных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условиях // Правовая информатика. 2017. № 4, с. 40-48. DOI: 10.21681/1994-1404-2017-4-40-48. 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8.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9.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221e1f"/>
          <w:sz w:val="18"/>
          <w:szCs w:val="18"/>
          <w:u w:val="none"/>
          <w:shd w:fill="auto" w:val="clear"/>
          <w:vertAlign w:val="baseline"/>
          <w:rtl w:val="0"/>
        </w:rPr>
        <w:t xml:space="preserve">25. (для обзоров до 40) .…………………………………………………………………………………………</w:t>
      </w:r>
    </w:p>
    <w:p w:rsidR="00000000" w:rsidDel="00000000" w:rsidP="00000000" w:rsidRDefault="00000000" w:rsidRPr="00000000" w14:paraId="0000003D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555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Качественный перевод на английский язык названия статьи, сведений об авторах, аннотации и ключевых слов.</w:t>
      </w:r>
    </w:p>
    <w:p w:rsidR="00000000" w:rsidDel="00000000" w:rsidP="00000000" w:rsidRDefault="00000000" w:rsidRPr="00000000" w14:paraId="00000041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THE ARTICLE TITLE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firstLine="135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Maximov P.V.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Panfilov P.B.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(Family Name) and Initials of authors, separated by commas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Keywords…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555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dfdfd" w:val="clear"/>
        <w:spacing w:after="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Abstract</w:t>
      </w:r>
    </w:p>
    <w:p w:rsidR="00000000" w:rsidDel="00000000" w:rsidP="00000000" w:rsidRDefault="00000000" w:rsidRPr="00000000" w14:paraId="00000047">
      <w:pPr>
        <w:shd w:fill="fdfdfd" w:val="clear"/>
        <w:spacing w:after="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shd w:fill="d4d4d4" w:val="clear"/>
          <w:rtl w:val="0"/>
        </w:rPr>
        <w:t xml:space="preserve">Purpose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of work……</w:t>
      </w:r>
    </w:p>
    <w:p w:rsidR="00000000" w:rsidDel="00000000" w:rsidP="00000000" w:rsidRDefault="00000000" w:rsidRPr="00000000" w14:paraId="00000048">
      <w:pPr>
        <w:shd w:fill="fdfdfd" w:val="clear"/>
        <w:spacing w:after="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shd w:fill="d4d4d4" w:val="clear"/>
          <w:rtl w:val="0"/>
        </w:rPr>
        <w:t xml:space="preserve">Research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method…</w:t>
      </w:r>
    </w:p>
    <w:p w:rsidR="00000000" w:rsidDel="00000000" w:rsidP="00000000" w:rsidRDefault="00000000" w:rsidRPr="00000000" w14:paraId="00000049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sz w:val="21"/>
          <w:szCs w:val="21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1"/>
          <w:szCs w:val="21"/>
          <w:shd w:fill="d4d4d4" w:val="clear"/>
          <w:rtl w:val="0"/>
        </w:rPr>
        <w:t xml:space="preserve">Results</w:t>
      </w:r>
      <w:r w:rsidDel="00000000" w:rsidR="00000000" w:rsidRPr="00000000">
        <w:rPr>
          <w:rFonts w:ascii="Quattrocento Sans" w:cs="Quattrocento Sans" w:eastAsia="Quattrocento Sans" w:hAnsi="Quattrocento San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sz w:val="21"/>
          <w:szCs w:val="21"/>
          <w:shd w:fill="d4d4d4" w:val="clear"/>
          <w:rtl w:val="0"/>
        </w:rPr>
        <w:t xml:space="preserve">of</w:t>
      </w:r>
      <w:r w:rsidDel="00000000" w:rsidR="00000000" w:rsidRPr="00000000">
        <w:rPr>
          <w:rFonts w:ascii="Quattrocento Sans" w:cs="Quattrocento Sans" w:eastAsia="Quattrocento Sans" w:hAnsi="Quattrocento Sans"/>
          <w:sz w:val="21"/>
          <w:szCs w:val="21"/>
          <w:rtl w:val="0"/>
        </w:rPr>
        <w:t xml:space="preserve"> the study….</w:t>
      </w:r>
    </w:p>
    <w:p w:rsidR="00000000" w:rsidDel="00000000" w:rsidP="00000000" w:rsidRDefault="00000000" w:rsidRPr="00000000" w14:paraId="0000004A">
      <w:pPr>
        <w:shd w:fill="fdfdfd" w:val="clear"/>
        <w:spacing w:after="0" w:line="240" w:lineRule="auto"/>
        <w:rPr>
          <w:rFonts w:ascii="Quattrocento Sans" w:cs="Quattrocento Sans" w:eastAsia="Quattrocento Sans" w:hAnsi="Quattrocento Sa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dfdfd" w:val="clear"/>
        <w:rPr>
          <w:rFonts w:ascii="Quattrocento Sans" w:cs="Quattrocento Sans" w:eastAsia="Quattrocento Sans" w:hAnsi="Quattrocento San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firstLine="55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61b0b"/>
          <w:sz w:val="20"/>
          <w:szCs w:val="20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 (делает редакция – здесь для сведения)</w:t>
      </w:r>
    </w:p>
    <w:p w:rsidR="00000000" w:rsidDel="00000000" w:rsidP="00000000" w:rsidRDefault="00000000" w:rsidRPr="00000000" w14:paraId="0000004E">
      <w:pPr>
        <w:spacing w:after="0" w:line="240" w:lineRule="auto"/>
        <w:ind w:firstLine="55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1.Agamirov K.V. Zamknuty`e krugi biurokraticheskogo omuta. Ty`siachi rossiian stanoviatsia zhertvami nerazberihi mezhdu GIBDD, nalogovikami i sudebny`mi pristavami // Nezavisimaia gazeta. 10.11.2016. URL: http://www.ng.ru/politics/2016-11-10/3_6854_ kartblansh.html (data obrashcheniia: 29.10.2020). </w:t>
      </w:r>
    </w:p>
    <w:p w:rsidR="00000000" w:rsidDel="00000000" w:rsidP="00000000" w:rsidRDefault="00000000" w:rsidRPr="00000000" w14:paraId="00000050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2. Tihomirov Iu.A. Pravoprimenenie: ot e`pizodichnosti k tcelevoi` rezul`tativnosti // Zhurnal rossii`skogo prava. 2017. № 1. S. 55—62. </w:t>
      </w:r>
    </w:p>
    <w:p w:rsidR="00000000" w:rsidDel="00000000" w:rsidP="00000000" w:rsidRDefault="00000000" w:rsidRPr="00000000" w14:paraId="00000051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3. Ry`bakov O.Iu. Kachestvo zhizni, blagopoluchie cheloveka, cennost` prava v usloviiakh tcifrovoi` real`nosti // Chelovek, obshche¬stvo, pravo v usloviiakh tcifrovoi` real`nosti: sbornik statei` / Pod red. O.Iu. Ry`bakova. M. : Rusai`ns, 2020. S. 15—31. </w:t>
      </w:r>
    </w:p>
    <w:p w:rsidR="00000000" w:rsidDel="00000000" w:rsidP="00000000" w:rsidRDefault="00000000" w:rsidRPr="00000000" w14:paraId="00000052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4. Lovtsov D. A., Gavrilov D. A. Automated special purpose optical electronic system’s functional diagnosis // Proceedings of International Seminar on Electron Devices Design and Production, SED-2019  </w:t>
      </w:r>
    </w:p>
    <w:p w:rsidR="00000000" w:rsidDel="00000000" w:rsidP="00000000" w:rsidRDefault="00000000" w:rsidRPr="00000000" w14:paraId="00000053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(23 – 24 April 2019).  Prague, Czech Republic: IEEE, 2019.  P. 70 –73.</w:t>
      </w:r>
    </w:p>
    <w:p w:rsidR="00000000" w:rsidDel="00000000" w:rsidP="00000000" w:rsidRDefault="00000000" w:rsidRPr="00000000" w14:paraId="00000054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5. Kartchiia A.A. Oblachny`e tekhnologii: rossii`skoe i zarubezhnoe zakonodatel`stvo i praktika pravoprimeneniia // </w:t>
      </w:r>
    </w:p>
    <w:p w:rsidR="00000000" w:rsidDel="00000000" w:rsidP="00000000" w:rsidRDefault="00000000" w:rsidRPr="00000000" w14:paraId="00000055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Monitoring pravoprimeneniia. 2018. № 2(27). S. 36-41.  DOI: 10.21681/2226-0692-2018-2-36-41. </w:t>
      </w:r>
    </w:p>
    <w:p w:rsidR="00000000" w:rsidDel="00000000" w:rsidP="00000000" w:rsidRDefault="00000000" w:rsidRPr="00000000" w14:paraId="00000056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6. Zahartcev S.I., Sal`nikov V.P. Filosofiia. Filosofiia prava. Iuridicheskaia nauka.   Iurlitinform.  M. 2015.  264 s. </w:t>
      </w:r>
    </w:p>
    <w:p w:rsidR="00000000" w:rsidDel="00000000" w:rsidP="00000000" w:rsidRDefault="00000000" w:rsidRPr="00000000" w14:paraId="00000057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7. Lovtcov D.A., Bogdanova M.V., Parshintceva L.S. Pravovaia statistika prestupnosti v sovremenny`kh </w:t>
      </w:r>
    </w:p>
    <w:p w:rsidR="00000000" w:rsidDel="00000000" w:rsidP="00000000" w:rsidRDefault="00000000" w:rsidRPr="00000000" w14:paraId="00000058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usloviiakh // Pravovaia informatika. 2017. № 4, s. 40-48. DOI: 10.21681/1994-1404-2017-4-40-48. </w:t>
      </w:r>
    </w:p>
    <w:p w:rsidR="00000000" w:rsidDel="00000000" w:rsidP="00000000" w:rsidRDefault="00000000" w:rsidRPr="00000000" w14:paraId="00000059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8.</w:t>
      </w:r>
    </w:p>
    <w:p w:rsidR="00000000" w:rsidDel="00000000" w:rsidP="00000000" w:rsidRDefault="00000000" w:rsidRPr="00000000" w14:paraId="0000005A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9.</w:t>
      </w:r>
    </w:p>
    <w:p w:rsidR="00000000" w:rsidDel="00000000" w:rsidP="00000000" w:rsidRDefault="00000000" w:rsidRPr="00000000" w14:paraId="0000005B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10. </w:t>
      </w:r>
    </w:p>
    <w:p w:rsidR="00000000" w:rsidDel="00000000" w:rsidP="00000000" w:rsidRDefault="00000000" w:rsidRPr="00000000" w14:paraId="0000005C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…………………………………………………………………………………………..</w:t>
      </w:r>
    </w:p>
    <w:p w:rsidR="00000000" w:rsidDel="00000000" w:rsidP="00000000" w:rsidRDefault="00000000" w:rsidRPr="00000000" w14:paraId="0000005D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spacing w:after="0" w:line="240" w:lineRule="auto"/>
        <w:ind w:firstLine="555"/>
        <w:jc w:val="both"/>
        <w:rPr>
          <w:rFonts w:ascii="EB Garamond" w:cs="EB Garamond" w:eastAsia="EB Garamond" w:hAnsi="EB Garamond"/>
          <w:color w:val="221e1f"/>
          <w:sz w:val="18"/>
          <w:szCs w:val="18"/>
        </w:rPr>
      </w:pPr>
      <w:r w:rsidDel="00000000" w:rsidR="00000000" w:rsidRPr="00000000">
        <w:rPr>
          <w:rFonts w:ascii="EB Garamond" w:cs="EB Garamond" w:eastAsia="EB Garamond" w:hAnsi="EB Garamond"/>
          <w:color w:val="221e1f"/>
          <w:sz w:val="18"/>
          <w:szCs w:val="18"/>
          <w:rtl w:val="0"/>
        </w:rPr>
        <w:t xml:space="preserve">25. (для обзоров до 40)</w:t>
      </w:r>
    </w:p>
    <w:p w:rsidR="00000000" w:rsidDel="00000000" w:rsidP="00000000" w:rsidRDefault="00000000" w:rsidRPr="00000000" w14:paraId="0000005F">
      <w:pPr>
        <w:spacing w:after="0" w:line="240" w:lineRule="auto"/>
        <w:ind w:firstLine="555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attrocento Sans"/>
  <w:font w:name="EB Garamond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Максимов Петр Владимирович, доктор юридических наук, профессор или доцент, профессор кафедры публичного права Московского государственного университета, г. Москва, Россия. E-mail: 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monitorlaw@yandex.ru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(точку после почты не ставить)</w:t>
      </w:r>
    </w:p>
  </w:footnote>
  <w:footnote w:id="1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Панфилов Петр Борисович, кандидат технических наук, профессор кафедры финансовой безопасности Московского государственного юридического университета имени О.Е. Кутафина, г. Москва, Россия. E-mail: </w:t>
      </w:r>
      <w:hyperlink r:id="rId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ppb@mail.ru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(точку после почты не ставить)</w:t>
      </w:r>
    </w:p>
  </w:footnote>
  <w:footnote w:id="2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Petr V. Maximov, Dr.Sc. (in Law), Professor of the Department of Public Law, Moscow State University, Moscow, Russia. E-mail: </w:t>
      </w:r>
      <w:hyperlink r:id="rId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monitorlaw@yandex.ru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(точку после почты не ставить) </w:t>
      </w:r>
    </w:p>
  </w:footnote>
  <w:footnote w:id="3"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 B. Panfilov, Ph.D. (in Tech.), Professor of the Department of Financial Security of the Moscow State Law University named after O.E. Kutafin, Moscow, Russia. E-mail: </w:t>
      </w:r>
      <w:hyperlink r:id="rId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 ppb@mail.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ru</w:t>
        </w:r>
      </w:hyperlink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monitorlaw@yandex.ru" TargetMode="External"/><Relationship Id="rId2" Type="http://schemas.openxmlformats.org/officeDocument/2006/relationships/hyperlink" Target="mailto:ppb@mail.ru" TargetMode="External"/><Relationship Id="rId3" Type="http://schemas.openxmlformats.org/officeDocument/2006/relationships/hyperlink" Target="mailto:monitorlaw@yandex.ru" TargetMode="External"/><Relationship Id="rId4" Type="http://schemas.openxmlformats.org/officeDocument/2006/relationships/hyperlink" Target="mailto:ppb@mail.ru" TargetMode="External"/><Relationship Id="rId5" Type="http://schemas.openxmlformats.org/officeDocument/2006/relationships/hyperlink" Target="mailto:pp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