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1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УДК, например, 004.056</w:t>
      </w: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(красным цветом)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1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293.00000000000006" w:lineRule="auto"/>
        <w:ind w:firstLine="102"/>
        <w:rPr>
          <w:b w:val="0"/>
        </w:rPr>
      </w:pPr>
      <w:r w:rsidDel="00000000" w:rsidR="00000000" w:rsidRPr="00000000">
        <w:rPr>
          <w:rtl w:val="0"/>
        </w:rPr>
        <w:t xml:space="preserve">НАЗВАНИЕ СТАТЬИ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93.000000000000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93.00000000000006" w:lineRule="auto"/>
        <w:rPr>
          <w:rFonts w:ascii="Times New Roman" w:cs="Times New Roman" w:eastAsia="Times New Roman" w:hAnsi="Times New Roman"/>
        </w:rPr>
        <w:sectPr>
          <w:pgSz w:h="16840" w:w="11910" w:orient="portrait"/>
          <w:pgMar w:bottom="280" w:top="1340" w:left="1600" w:right="1580" w:header="720" w:footer="720"/>
          <w:pgNumType w:start="1"/>
          <w:cols w:equalWidth="0" w:num="2">
            <w:col w:space="330" w:w="4200"/>
            <w:col w:space="0" w:w="42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Фамилия И.О.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(полностью фио указывается в сноске)</w:t>
      </w:r>
    </w:p>
    <w:p w:rsidR="00000000" w:rsidDel="00000000" w:rsidP="00000000" w:rsidRDefault="00000000" w:rsidRPr="00000000" w14:paraId="00000006">
      <w:pPr>
        <w:ind w:left="102" w:right="118" w:firstLine="56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Ключевые слова: через запятую 7–11  слов или словосочетаний, не совпадающих </w:t>
      </w:r>
      <w:r w:rsidDel="00000000" w:rsidR="00000000" w:rsidRPr="00000000">
        <w:rPr>
          <w:rtl w:val="0"/>
        </w:rPr>
        <w:t xml:space="preserve">с терминами из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названием статьи.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9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02" w:right="117" w:firstLine="566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Аннотация, в которой отдельными абзацами рекомендуется выделить:</w:t>
      </w:r>
    </w:p>
    <w:p w:rsidR="00000000" w:rsidDel="00000000" w:rsidP="00000000" w:rsidRDefault="00000000" w:rsidRPr="00000000" w14:paraId="00000009">
      <w:pPr>
        <w:ind w:left="102" w:right="117" w:firstLine="566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Цель  исследования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одно-два, максимум три предложения о цели работы, без рассуждений об обосновании (это во Введении) </w:t>
      </w:r>
    </w:p>
    <w:p w:rsidR="00000000" w:rsidDel="00000000" w:rsidP="00000000" w:rsidRDefault="00000000" w:rsidRPr="00000000" w14:paraId="0000000A">
      <w:pPr>
        <w:ind w:left="102" w:right="117" w:firstLine="566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Метод исследования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– например, теория вероятностей, обзоры, общенаучные методы – два–четыре предложения</w:t>
      </w:r>
    </w:p>
    <w:p w:rsidR="00000000" w:rsidDel="00000000" w:rsidP="00000000" w:rsidRDefault="00000000" w:rsidRPr="00000000" w14:paraId="0000000B">
      <w:pPr>
        <w:ind w:left="102" w:right="117" w:firstLine="566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Результат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исследования (с указанием, что дало, в какой области). Объем аннотации составляет минимум 70 слов, максимум 150 слов, рекомендуется придерживаться ГОСТ 7.9-95.</w:t>
      </w:r>
    </w:p>
    <w:p w:rsidR="00000000" w:rsidDel="00000000" w:rsidP="00000000" w:rsidRDefault="00000000" w:rsidRPr="00000000" w14:paraId="0000000C">
      <w:pPr>
        <w:ind w:left="102" w:right="117" w:firstLine="566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Научная новизна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Практическая ценность)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два-четыре предложения.</w:t>
      </w:r>
    </w:p>
    <w:p w:rsidR="00000000" w:rsidDel="00000000" w:rsidP="00000000" w:rsidRDefault="00000000" w:rsidRPr="00000000" w14:paraId="0000000D">
      <w:pPr>
        <w:ind w:left="102" w:right="117" w:firstLine="566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Вклад авторов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если число соавторов больше 3-х.</w:t>
      </w:r>
    </w:p>
    <w:p w:rsidR="00000000" w:rsidDel="00000000" w:rsidP="00000000" w:rsidRDefault="00000000" w:rsidRPr="00000000" w14:paraId="0000000E">
      <w:pPr>
        <w:ind w:left="102" w:right="117" w:firstLine="566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02" w:right="119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Текст статьи не может быть меньше 15 000 символов  и максимум 40 000 символов и должен включать следующие заголовки: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введение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промежуточные заголовки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выводы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29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Строго не рекомендуются к публикации статьи, в которых отсутствует формализованное решение задачи.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24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1340" w:left="1600" w:right="158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формулы должны быть пронумерованы справа в круглых скобках, например: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58" w:lineRule="auto"/>
        <w:ind w:left="668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𝑀 =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756919</wp:posOffset>
                </wp:positionH>
                <wp:positionV relativeFrom="paragraph">
                  <wp:posOffset>185420</wp:posOffset>
                </wp:positionV>
                <wp:extent cx="576580" cy="1270"/>
                <wp:effectExtent b="13335" l="10795" r="12700" t="1397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1270"/>
                          <a:chOff x="2792" y="292"/>
                          <a:chExt cx="908" cy="2"/>
                        </a:xfrm>
                      </wpg:grpSpPr>
                      <wps:wsp>
                        <wps:cNvSpPr>
                          <a:spLocks/>
                        </wps:cNvSpPr>
                        <wps:cNvPr id="532469767" name="Freeform 8"/>
                        <wps:spPr bwMode="auto">
                          <a:xfrm>
                            <a:off x="2792" y="292"/>
                            <a:ext cx="908" cy="2"/>
                          </a:xfrm>
                          <a:custGeom>
                            <a:avLst/>
                            <a:gdLst>
                              <a:gd fmla="+- 0 2792 2792" name="T0"/>
                              <a:gd fmla="*/ T0 w 908" name="T1"/>
                              <a:gd fmla="+- 0 3699 2792" name="T2"/>
                              <a:gd fmla="*/ T2 w 908" name="T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b="b" l="0" r="r" t="0"/>
                            <a:pathLst>
                              <a:path h="0" w="908">
                                <a:moveTo>
                                  <a:pt x="0" y="0"/>
                                </a:moveTo>
                                <a:lnTo>
                                  <a:pt x="90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756919</wp:posOffset>
                </wp:positionH>
                <wp:positionV relativeFrom="paragraph">
                  <wp:posOffset>185420</wp:posOffset>
                </wp:positionV>
                <wp:extent cx="600075" cy="2857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before="25" w:line="72.99999999999999" w:lineRule="auto"/>
        <w:ind w:left="147" w:hanging="123"/>
        <w:rPr>
          <w:rFonts w:ascii="Cambria Math" w:cs="Cambria Math" w:eastAsia="Cambria Math" w:hAnsi="Cambria Math"/>
          <w:sz w:val="14"/>
          <w:szCs w:val="14"/>
        </w:rPr>
      </w:pPr>
      <w:r w:rsidDel="00000000" w:rsidR="00000000" w:rsidRPr="00000000">
        <w:br w:type="column"/>
      </w:r>
      <w:r w:rsidDel="00000000" w:rsidR="00000000" w:rsidRPr="00000000">
        <w:rPr>
          <w:rFonts w:ascii="Cambria Math" w:cs="Cambria Math" w:eastAsia="Cambria Math" w:hAnsi="Cambria Math"/>
          <w:sz w:val="17"/>
          <w:szCs w:val="17"/>
          <w:rtl w:val="0"/>
        </w:rPr>
        <w:t xml:space="preserve">(3.5�+</w:t>
      </w:r>
      <w:r w:rsidDel="00000000" w:rsidR="00000000" w:rsidRPr="00000000">
        <w:rPr>
          <w:rFonts w:ascii="Cambria Math" w:cs="Cambria Math" w:eastAsia="Cambria Math" w:hAnsi="Cambria Math"/>
          <w:sz w:val="28.333333333333336"/>
          <w:szCs w:val="28.333333333333336"/>
          <w:vertAlign w:val="superscript"/>
          <w:rtl w:val="0"/>
        </w:rPr>
        <w:t xml:space="preserve">𝑉</w:t>
      </w:r>
      <w:r w:rsidDel="00000000" w:rsidR="00000000" w:rsidRPr="00000000">
        <w:rPr>
          <w:rFonts w:ascii="Cambria Math" w:cs="Cambria Math" w:eastAsia="Cambria Math" w:hAnsi="Cambria Math"/>
          <w:sz w:val="17"/>
          <w:szCs w:val="17"/>
          <w:rtl w:val="0"/>
        </w:rPr>
        <w:t xml:space="preserve">⁄</w:t>
      </w:r>
      <w:r w:rsidDel="00000000" w:rsidR="00000000" w:rsidRPr="00000000">
        <w:rPr>
          <w:rFonts w:ascii="Cambria Math" w:cs="Cambria Math" w:eastAsia="Cambria Math" w:hAnsi="Cambria Math"/>
          <w:sz w:val="28.333333333333336"/>
          <w:szCs w:val="28.333333333333336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sz w:val="17"/>
          <w:szCs w:val="17"/>
          <w:rtl w:val="0"/>
        </w:rPr>
        <w:t xml:space="preserve">) 4</w:t>
      </w:r>
      <w:r w:rsidDel="00000000" w:rsidR="00000000" w:rsidRPr="00000000">
        <w:rPr>
          <w:rFonts w:ascii="Cambria Math" w:cs="Cambria Math" w:eastAsia="Cambria Math" w:hAnsi="Cambria Math"/>
          <w:sz w:val="17"/>
          <w:szCs w:val="17"/>
          <w:vertAlign w:val="baseline"/>
          <w:rtl w:val="0"/>
        </w:rPr>
        <w:t xml:space="preserve">(</w:t>
      </w:r>
      <w:r w:rsidDel="00000000" w:rsidR="00000000" w:rsidRPr="00000000">
        <w:rPr>
          <w:rFonts w:ascii="Cambria Math" w:cs="Cambria Math" w:eastAsia="Cambria Math" w:hAnsi="Cambria Math"/>
          <w:sz w:val="17"/>
          <w:szCs w:val="17"/>
          <w:rtl w:val="0"/>
        </w:rPr>
        <w:t xml:space="preserve">�</w:t>
      </w:r>
      <w:r w:rsidDel="00000000" w:rsidR="00000000" w:rsidRPr="00000000">
        <w:rPr>
          <w:rFonts w:ascii="Cambria Math" w:cs="Cambria Math" w:eastAsia="Cambria Math" w:hAnsi="Cambria Math"/>
          <w:sz w:val="14"/>
          <w:szCs w:val="14"/>
          <w:vertAlign w:val="baseline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sz w:val="17"/>
          <w:szCs w:val="17"/>
          <w:rtl w:val="0"/>
        </w:rPr>
        <w:t xml:space="preserve">𝑂</w:t>
      </w:r>
      <w:r w:rsidDel="00000000" w:rsidR="00000000" w:rsidRPr="00000000">
        <w:rPr>
          <w:rFonts w:ascii="Cambria Math" w:cs="Cambria Math" w:eastAsia="Cambria Math" w:hAnsi="Cambria Math"/>
          <w:sz w:val="17"/>
          <w:szCs w:val="17"/>
          <w:vertAlign w:val="baseline"/>
          <w:rtl w:val="0"/>
        </w:rPr>
        <w:t xml:space="preserve">)</w:t>
      </w:r>
      <w:r w:rsidDel="00000000" w:rsidR="00000000" w:rsidRPr="00000000">
        <w:rPr>
          <w:rFonts w:ascii="Cambria Math" w:cs="Cambria Math" w:eastAsia="Cambria Math" w:hAnsi="Cambria Math"/>
          <w:sz w:val="23.333333333333336"/>
          <w:szCs w:val="23.333333333333336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2"/>
        </w:tabs>
        <w:spacing w:after="0" w:before="0" w:line="558" w:lineRule="auto"/>
        <w:ind w:left="1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1340" w:left="1600" w:right="1580" w:header="720" w:footer="720"/>
          <w:cols w:equalWidth="0" w:num="3">
            <w:col w:space="40" w:w="2883.333333333333"/>
            <w:col w:space="40" w:w="2883.333333333333"/>
            <w:col w:space="0" w:w="2883.333333333333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+ 3(360°)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  <w:tab/>
        <w:t xml:space="preserve">(1)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9" w:lineRule="auto"/>
        <w:ind w:left="102" w:right="0" w:firstLine="0"/>
        <w:jc w:val="both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где: 𝐺 − джин, 𝑉 − вермут.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9" w:lineRule="auto"/>
        <w:ind w:left="102" w:right="0" w:firstLine="0"/>
        <w:jc w:val="both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Рисунки   и   таблицы   должны   быть   пронумерованы   последовательно   в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порядке упоминания в тексте, например: Рис.1, Табл.1. Рисунки дополнительно предоставляются в графических форматах tiff или jpg с разрешением 300 точек/на дюйм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(Журнал печатается на бумаге, таковы полиграфические требования. При меньшем разрешении качество не гарантируется)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3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789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1977390" cy="124968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249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6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649" w:right="667" w:firstLine="0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Рис.1. Подпись к рисунку</w:t>
      </w:r>
    </w:p>
    <w:p w:rsidR="00000000" w:rsidDel="00000000" w:rsidP="00000000" w:rsidRDefault="00000000" w:rsidRPr="00000000" w14:paraId="0000001D">
      <w:pPr>
        <w:spacing w:before="4" w:line="200" w:lineRule="auto"/>
        <w:rPr>
          <w:sz w:val="20"/>
          <w:szCs w:val="20"/>
        </w:rPr>
        <w:sectPr>
          <w:type w:val="continuous"/>
          <w:pgSz w:h="16840" w:w="11910" w:orient="portrait"/>
          <w:pgMar w:bottom="280" w:top="1340" w:left="1600" w:right="15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6" w:line="340" w:lineRule="auto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Заголовок таблицы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212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1340" w:left="1600" w:right="1580" w:header="720" w:footer="720"/>
          <w:cols w:equalWidth="0" w:num="2">
            <w:col w:space="40" w:w="4345"/>
            <w:col w:space="0" w:w="434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1.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69.0" w:type="dxa"/>
        <w:jc w:val="left"/>
        <w:tblInd w:w="96.0" w:type="dxa"/>
        <w:tblLayout w:type="fixed"/>
        <w:tblLook w:val="0000"/>
      </w:tblPr>
      <w:tblGrid>
        <w:gridCol w:w="1277"/>
        <w:gridCol w:w="3968"/>
        <w:gridCol w:w="3262"/>
        <w:gridCol w:w="3262"/>
        <w:tblGridChange w:id="0">
          <w:tblGrid>
            <w:gridCol w:w="1277"/>
            <w:gridCol w:w="3968"/>
            <w:gridCol w:w="3262"/>
            <w:gridCol w:w="3262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3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Поле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Поле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558" w:right="5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392" w:right="139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Значение 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Значение 12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558" w:right="5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392" w:right="139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Значение 21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0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0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Значение 22</w:t>
            </w:r>
          </w:p>
        </w:tc>
      </w:tr>
    </w:tbl>
    <w:p w:rsidR="00000000" w:rsidDel="00000000" w:rsidP="00000000" w:rsidRDefault="00000000" w:rsidRPr="00000000" w14:paraId="0000002E">
      <w:pPr>
        <w:spacing w:before="7" w:line="19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82" w:lineRule="auto"/>
        <w:ind w:left="102" w:right="380" w:firstLine="0"/>
        <w:jc w:val="both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6840" w:w="11910" w:orient="portrait"/>
          <w:pgMar w:bottom="280" w:top="1340" w:left="1600" w:right="158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Фамилия Имя Отчество, ученая степень (полностью, без сокращений), ученое звание, должность и название организации, город. E-mail. Кроме того, специалисты, имеющие значимые международные сертификаты по тематике, могут указать профессиональный статус, например: CISSP, CSSLP, CISA, CISM. Можно указать ORCHID.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64769</wp:posOffset>
                </wp:positionH>
                <wp:positionV relativeFrom="paragraph">
                  <wp:posOffset>-10794</wp:posOffset>
                </wp:positionV>
                <wp:extent cx="1829435" cy="1270"/>
                <wp:effectExtent b="9525" l="13970" r="13970" t="8255"/>
                <wp:wrapNone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702" y="-17"/>
                          <a:chExt cx="2881" cy="2"/>
                        </a:xfrm>
                      </wpg:grpSpPr>
                      <wps:wsp>
                        <wps:cNvSpPr>
                          <a:spLocks/>
                        </wps:cNvSpPr>
                        <wps:cNvPr id="172567757" name="Freeform 5"/>
                        <wps:spPr bwMode="auto">
                          <a:xfrm>
                            <a:off x="1702" y="-17"/>
                            <a:ext cx="2881" cy="2"/>
                          </a:xfrm>
                          <a:custGeom>
                            <a:avLst/>
                            <a:gdLst>
                              <a:gd fmla="+- 0 1702 1702" name="T0"/>
                              <a:gd fmla="*/ T0 w 2881" name="T1"/>
                              <a:gd fmla="+- 0 4582 1702" name="T2"/>
                              <a:gd fmla="*/ T2 w 2881" name="T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b="b" l="0" r="r" t="0"/>
                            <a:pathLst>
                              <a:path h="0" w="2881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64769</wp:posOffset>
                </wp:positionH>
                <wp:positionV relativeFrom="paragraph">
                  <wp:posOffset>-10794</wp:posOffset>
                </wp:positionV>
                <wp:extent cx="1857375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102" w:right="0" w:firstLine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указания в тексте тезисов фрагмента программного кода, следует его приводить в формате моноширинного шрифта, например:</w:t>
      </w:r>
    </w:p>
    <w:p w:rsidR="00000000" w:rsidDel="00000000" w:rsidP="00000000" w:rsidRDefault="00000000" w:rsidRPr="00000000" w14:paraId="00000032">
      <w:pPr>
        <w:spacing w:before="12" w:lineRule="auto"/>
        <w:ind w:left="668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if bit==0 then</w:t>
      </w:r>
    </w:p>
    <w:p w:rsidR="00000000" w:rsidDel="00000000" w:rsidP="00000000" w:rsidRDefault="00000000" w:rsidRPr="00000000" w14:paraId="00000033">
      <w:pPr>
        <w:spacing w:before="2" w:line="238" w:lineRule="auto"/>
        <w:ind w:left="941" w:right="4483" w:hanging="274.00000000000006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{ print(«Веселый привет!»); return().</w:t>
      </w:r>
    </w:p>
    <w:p w:rsidR="00000000" w:rsidDel="00000000" w:rsidP="00000000" w:rsidRDefault="00000000" w:rsidRPr="00000000" w14:paraId="00000034">
      <w:pPr>
        <w:spacing w:before="1" w:line="242.99999999999997" w:lineRule="auto"/>
        <w:ind w:left="668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8" w:firstLine="6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выводах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обязательном порядке следует отметить: что сделано, какой достигнут эффект и в какой научной области. Отдельно следует строго отметить практическое подтверждение/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достоверность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предлагаемых научных решений.</w:t>
      </w:r>
    </w:p>
    <w:p w:rsidR="00000000" w:rsidDel="00000000" w:rsidP="00000000" w:rsidRDefault="00000000" w:rsidRPr="00000000" w14:paraId="00000036">
      <w:pPr>
        <w:ind w:left="102" w:right="117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Если работа проводилась при финансовой поддержке (к примеру, в рамках гранта РФФИ), в конце выводов (или в дополнительной сноске) это целесообразно указать.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7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литературы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нумеруется в порядке, упоминаемом в тексте (примеры ссылок по тексту: [1], [2, 5–7], [3, с. 123]). Рекомендуемое количество литературных источников: 10–25. Настоятельно рекомендуется ссылаться на журнальные статьи, представленные в elibrary.ru или иных НАУЧНЫХ источниках за последние 5 лет. Запрещается ссылаться на неиндексируемые литературные источники, как-то: стандарты и анонимные публикации, а также на ненаучные источники (например, Википедию). Литературный источник приводится строго по ГОСТ Р 7.0.5-2008 либо как он отображается в elibrary.ru (или Scopus и WoS). Пример перечня литературы представлен ниже.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7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Особо подчеркнем – в разделе Литература по требованию ВАК отображаются только научные источники, так как раздел трактуется как место дискуссия автора статьи и авторами источников. Какая может быть дискуссия с ГОСТом, или Законом, или Правительственным постановлением? Ссылка на Интернет-источник здесь также не может быть, если там нет автора. Например, недопустимо помещать такой: Бюллетень компьютерных атак в 2024 году (часто публикует фирма Касперского)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7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всех не научных источников есть механизм постраничных сносок. Там нет никаких ограничений, и они не учитываются, в то время как ссылки на научный источник в разделе Литература учитываются и влияют как на статистические показатели и автора статьи, и автора, на которого ссылаются. Например, от числа ссылок сильно зависит индекс Хирша у автора  статьи, и показатели журнала – его импакт-фактор и другие показатели, всего их более 20.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7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Вы пишите статью, и полагаете, что Вы эту задачу решаете впервые, то Вы ошибаетесь – Вы просто не изучили научные источники. В современном научном мире нет задач, которые уже не изучались – они изучались как-то по-другому, неполно. Вот ссылки на коллег и показывают тщательность исследования автора, предлагающего свою статью к публикации в научном журнале.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7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3C">
      <w:pPr>
        <w:spacing w:before="6" w:line="228" w:lineRule="auto"/>
        <w:ind w:left="66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tabs>
          <w:tab w:val="left" w:leader="none" w:pos="988"/>
        </w:tabs>
        <w:ind w:left="102" w:right="130" w:firstLine="56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Карцхия А.А., Макаренко Г.И. Правовые горизонты технологий искусственного интелекта: национальный и международный аспект // Вопросы кибербезопасности. 2024. № 1. С.2–14. DOI:10.21681/2311-3456-2024-1-2-14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tabs>
          <w:tab w:val="left" w:leader="none" w:pos="875"/>
        </w:tabs>
        <w:ind w:left="102" w:right="118" w:firstLine="56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Горшков Ю.Г.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Анализ засекреченных сигналов телефонных шифраторов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//</w:t>
        <w:br w:type="textWrapping"/>
        <w:t xml:space="preserve">В сборнике: Безопасные информационные технологии. Сборник трудов Одиннадцатой международной научно-технической конференции. 2021. С. 91–98.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tabs>
          <w:tab w:val="left" w:leader="none" w:pos="892"/>
        </w:tabs>
        <w:ind w:left="102" w:right="117" w:firstLine="56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Иванов В.Г., Поручиков А.А., Михайлин А.Д., Соловьев Г.Е., Савицкий А.Ю.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Автоматизированный комплекс контроля и управления узлом связи "Иволга"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 // 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Свидетельство о регистрации программы для ЭВМ RU 2023611061, 16.01.2023. Заявка № 2022686133 от 26.12.2022.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tabs>
          <w:tab w:val="left" w:leader="none" w:pos="892"/>
        </w:tabs>
        <w:ind w:left="102" w:right="117" w:firstLine="56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Alexey Zhukov. Lightweight Cryptography: Modern Development Paradigms. In Proceedings of the 8th International Conference on Security of Information and Networks (Sochi, Russian Federation, September 08-10, 2022). SIN '15. ACM New York, NY, USA, 2022, pp. 7-7. DOI: 10.1145/2799979.2799981.</w:t>
      </w:r>
    </w:p>
    <w:p w:rsidR="00000000" w:rsidDel="00000000" w:rsidP="00000000" w:rsidRDefault="00000000" w:rsidRPr="00000000" w14:paraId="00000041">
      <w:pPr>
        <w:spacing w:before="4"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7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При необходимости может быть указан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научный руководитель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Фамилия, Имя, Отчество полностью, ученое звание, ученая степень, должность и место работы, E-mail.</w:t>
      </w:r>
    </w:p>
    <w:p w:rsidR="00000000" w:rsidDel="00000000" w:rsidP="00000000" w:rsidRDefault="00000000" w:rsidRPr="00000000" w14:paraId="00000043">
      <w:pPr>
        <w:spacing w:before="18" w:line="2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102" w:right="119" w:firstLine="56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Качественный перевод на английский язык названия статьи, сведений об авторах, аннотации и ключевых слов, а также транслитерация литературы (перевод литературы запрещен). Обычно транслитерацию делает сама редакции, здесь указано для сведения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2"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spacing w:line="288" w:lineRule="auto"/>
        <w:ind w:left="644" w:right="667" w:firstLine="0"/>
        <w:jc w:val="center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ARTICLE 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80" w:lineRule="auto"/>
        <w:ind w:left="786" w:right="667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Surname (Family Name) and Initials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of authors, separated by commas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1" w:lineRule="auto"/>
        <w:ind w:left="66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Keywords…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4"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82" w:line="233" w:lineRule="auto"/>
        <w:ind w:left="10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Редакция оставляет за собой право указывать рецензента.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64769</wp:posOffset>
                </wp:positionH>
                <wp:positionV relativeFrom="paragraph">
                  <wp:posOffset>-10794</wp:posOffset>
                </wp:positionV>
                <wp:extent cx="1829435" cy="1270"/>
                <wp:effectExtent b="12065" l="13970" r="13970" t="5715"/>
                <wp:wrapNone/>
                <wp:docPr id="2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702" y="-17"/>
                          <a:chExt cx="2881" cy="2"/>
                        </a:xfrm>
                      </wpg:grpSpPr>
                      <wps:wsp>
                        <wps:cNvSpPr>
                          <a:spLocks/>
                        </wps:cNvSpPr>
                        <wps:cNvPr id="755151876" name="Freeform 3"/>
                        <wps:spPr bwMode="auto">
                          <a:xfrm>
                            <a:off x="1702" y="-17"/>
                            <a:ext cx="2881" cy="2"/>
                          </a:xfrm>
                          <a:custGeom>
                            <a:avLst/>
                            <a:gdLst>
                              <a:gd fmla="+- 0 1702 1702" name="T0"/>
                              <a:gd fmla="*/ T0 w 2881" name="T1"/>
                              <a:gd fmla="+- 0 4582 1702" name="T2"/>
                              <a:gd fmla="*/ T2 w 2881" name="T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b="b" l="0" r="r" t="0"/>
                            <a:pathLst>
                              <a:path h="0" w="2881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64769</wp:posOffset>
                </wp:positionH>
                <wp:positionV relativeFrom="paragraph">
                  <wp:posOffset>-10794</wp:posOffset>
                </wp:positionV>
                <wp:extent cx="1857375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spacing w:line="229" w:lineRule="auto"/>
        <w:ind w:left="10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First, patronymic and second names, academic degree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academic rank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organization name, city, E-mail</w:t>
      </w:r>
    </w:p>
    <w:p w:rsidR="00000000" w:rsidDel="00000000" w:rsidP="00000000" w:rsidRDefault="00000000" w:rsidRPr="00000000" w14:paraId="0000004F">
      <w:pPr>
        <w:spacing w:line="229" w:lineRule="auto"/>
        <w:ind w:left="10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Например: Dr.Sc., Ph.D.</w:t>
      </w:r>
    </w:p>
    <w:p w:rsidR="00000000" w:rsidDel="00000000" w:rsidP="00000000" w:rsidRDefault="00000000" w:rsidRPr="00000000" w14:paraId="00000050">
      <w:pPr>
        <w:spacing w:line="233" w:lineRule="auto"/>
        <w:ind w:left="102" w:firstLine="0"/>
        <w:rPr>
          <w:rFonts w:ascii="Times New Roman" w:cs="Times New Roman" w:eastAsia="Times New Roman" w:hAnsi="Times New Roman"/>
        </w:rPr>
        <w:sectPr>
          <w:type w:val="nextPage"/>
          <w:pgSz w:h="16840" w:w="11910" w:orient="portrait"/>
          <w:pgMar w:bottom="280" w:top="1340" w:left="1600" w:right="158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per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Например: Associate Professor, Professor, Corresponding member of RAS, Academician of RAS.</w:t>
      </w:r>
    </w:p>
    <w:p w:rsidR="00000000" w:rsidDel="00000000" w:rsidP="00000000" w:rsidRDefault="00000000" w:rsidRPr="00000000" w14:paraId="00000051">
      <w:pPr>
        <w:spacing w:before="54" w:lineRule="auto"/>
        <w:ind w:left="102" w:right="122" w:firstLine="566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Abstract (точки после любых подзаголовков не ставить)</w:t>
      </w:r>
    </w:p>
    <w:p w:rsidR="00000000" w:rsidDel="00000000" w:rsidP="00000000" w:rsidRDefault="00000000" w:rsidRPr="00000000" w14:paraId="00000052">
      <w:pPr>
        <w:spacing w:before="54" w:lineRule="auto"/>
        <w:ind w:left="102" w:right="122" w:firstLine="56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It can be used in a passive voice, for example: The mathematical models of ... ... are developed. The conclusion about … ... is made.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14"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28" w:lineRule="auto"/>
        <w:ind w:left="66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b0a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tabs>
          <w:tab w:val="left" w:leader="none" w:pos="889"/>
        </w:tabs>
        <w:ind w:left="102" w:right="117" w:hanging="22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161b0a"/>
          <w:rtl w:val="0"/>
        </w:rPr>
        <w:t xml:space="preserve">Karchija A.A., Makarenko G.I. Pravovye gorizonty tehnologij iskusstvennogo intelekta: nacional'nyj i mezhdunarodnyj aspekt // Voprosy kiberbezopasnosti. 2024. № 1. S.2–14. DOI:10.21681/2311-3456-2024-1-2-14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tabs>
          <w:tab w:val="left" w:leader="none" w:pos="889"/>
        </w:tabs>
        <w:ind w:left="102" w:right="117" w:hanging="22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161b0a"/>
          <w:rtl w:val="0"/>
        </w:rPr>
        <w:t xml:space="preserve">Gorshkov Ju.G. Analiz zasekrechennyh signalov telefonnyh shifratorov // V sbornike: Bezopasnye informacionnye tehnologii. Sbornik trudov Odinnadcatoj mezhdunarodnoj nauchno-tehnicheskoj konferencii. 2021. S. 91–98. 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tabs>
          <w:tab w:val="left" w:leader="none" w:pos="889"/>
        </w:tabs>
        <w:ind w:left="102" w:right="117" w:hanging="22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161b0a"/>
          <w:rtl w:val="0"/>
        </w:rPr>
        <w:t xml:space="preserve">Ivanov V.G., Poruchikov A.A., Mihajlin A.D., Solov'ev G.E., Savickij A.Ju. Avtomatizirovannyj kompleks kontrolja i upravlenija uzlom svjazi "Ivolga" // Svidetel'stvo o registracii programmy dlja JeVM RU 2023611061, 16.01.2023. Zajavka № 2022686133 ot 26.12.2022.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tabs>
          <w:tab w:val="left" w:leader="none" w:pos="889"/>
        </w:tabs>
        <w:ind w:left="102" w:right="117" w:hanging="22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161b0a"/>
          <w:rtl w:val="0"/>
        </w:rPr>
        <w:t xml:space="preserve"> Alexey Zhukov. Lightweight Cryptography: Modern Development Paradigms. In Proceedings of the 8th International Conference on Security of Information and Networks (Sochi, Russian Federation, September 08-10, 2022). SIN '15. ACM New York, NY, USA, 2022, pp. 7-7. DOI: 10.1145/2799979.2799981.</w: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340" w:left="1600" w:right="15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ambria Math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2" w:hanging="223"/>
      </w:pPr>
      <w:rPr>
        <w:rFonts w:ascii="Times New Roman" w:cs="Times New Roman" w:eastAsia="Times New Roman" w:hAnsi="Times New Roman"/>
        <w:color w:val="161b0a"/>
        <w:sz w:val="20"/>
        <w:szCs w:val="20"/>
      </w:rPr>
    </w:lvl>
    <w:lvl w:ilvl="1">
      <w:start w:val="1"/>
      <w:numFmt w:val="bullet"/>
      <w:lvlText w:val="•"/>
      <w:lvlJc w:val="left"/>
      <w:pPr>
        <w:ind w:left="964" w:hanging="222.9999999999999"/>
      </w:pPr>
      <w:rPr/>
    </w:lvl>
    <w:lvl w:ilvl="2">
      <w:start w:val="1"/>
      <w:numFmt w:val="bullet"/>
      <w:lvlText w:val="•"/>
      <w:lvlJc w:val="left"/>
      <w:pPr>
        <w:ind w:left="1826" w:hanging="223.00000000000023"/>
      </w:pPr>
      <w:rPr/>
    </w:lvl>
    <w:lvl w:ilvl="3">
      <w:start w:val="1"/>
      <w:numFmt w:val="bullet"/>
      <w:lvlText w:val="•"/>
      <w:lvlJc w:val="left"/>
      <w:pPr>
        <w:ind w:left="2689" w:hanging="223.00000000000045"/>
      </w:pPr>
      <w:rPr/>
    </w:lvl>
    <w:lvl w:ilvl="4">
      <w:start w:val="1"/>
      <w:numFmt w:val="bullet"/>
      <w:lvlText w:val="•"/>
      <w:lvlJc w:val="left"/>
      <w:pPr>
        <w:ind w:left="3551" w:hanging="223"/>
      </w:pPr>
      <w:rPr/>
    </w:lvl>
    <w:lvl w:ilvl="5">
      <w:start w:val="1"/>
      <w:numFmt w:val="bullet"/>
      <w:lvlText w:val="•"/>
      <w:lvlJc w:val="left"/>
      <w:pPr>
        <w:ind w:left="4414" w:hanging="223"/>
      </w:pPr>
      <w:rPr/>
    </w:lvl>
    <w:lvl w:ilvl="6">
      <w:start w:val="1"/>
      <w:numFmt w:val="bullet"/>
      <w:lvlText w:val="•"/>
      <w:lvlJc w:val="left"/>
      <w:pPr>
        <w:ind w:left="5276" w:hanging="223"/>
      </w:pPr>
      <w:rPr/>
    </w:lvl>
    <w:lvl w:ilvl="7">
      <w:start w:val="1"/>
      <w:numFmt w:val="bullet"/>
      <w:lvlText w:val="•"/>
      <w:lvlJc w:val="left"/>
      <w:pPr>
        <w:ind w:left="6139" w:hanging="223"/>
      </w:pPr>
      <w:rPr/>
    </w:lvl>
    <w:lvl w:ilvl="8">
      <w:start w:val="1"/>
      <w:numFmt w:val="bullet"/>
      <w:lvlText w:val="•"/>
      <w:lvlJc w:val="left"/>
      <w:pPr>
        <w:ind w:left="7001" w:hanging="222.9999999999991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2" w:hanging="320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964" w:hanging="320"/>
      </w:pPr>
      <w:rPr/>
    </w:lvl>
    <w:lvl w:ilvl="2">
      <w:start w:val="1"/>
      <w:numFmt w:val="bullet"/>
      <w:lvlText w:val="•"/>
      <w:lvlJc w:val="left"/>
      <w:pPr>
        <w:ind w:left="1826" w:hanging="320"/>
      </w:pPr>
      <w:rPr/>
    </w:lvl>
    <w:lvl w:ilvl="3">
      <w:start w:val="1"/>
      <w:numFmt w:val="bullet"/>
      <w:lvlText w:val="•"/>
      <w:lvlJc w:val="left"/>
      <w:pPr>
        <w:ind w:left="2689" w:hanging="320"/>
      </w:pPr>
      <w:rPr/>
    </w:lvl>
    <w:lvl w:ilvl="4">
      <w:start w:val="1"/>
      <w:numFmt w:val="bullet"/>
      <w:lvlText w:val="•"/>
      <w:lvlJc w:val="left"/>
      <w:pPr>
        <w:ind w:left="3551" w:hanging="320"/>
      </w:pPr>
      <w:rPr/>
    </w:lvl>
    <w:lvl w:ilvl="5">
      <w:start w:val="1"/>
      <w:numFmt w:val="bullet"/>
      <w:lvlText w:val="•"/>
      <w:lvlJc w:val="left"/>
      <w:pPr>
        <w:ind w:left="4414" w:hanging="320"/>
      </w:pPr>
      <w:rPr/>
    </w:lvl>
    <w:lvl w:ilvl="6">
      <w:start w:val="1"/>
      <w:numFmt w:val="bullet"/>
      <w:lvlText w:val="•"/>
      <w:lvlJc w:val="left"/>
      <w:pPr>
        <w:ind w:left="5276" w:hanging="320"/>
      </w:pPr>
      <w:rPr/>
    </w:lvl>
    <w:lvl w:ilvl="7">
      <w:start w:val="1"/>
      <w:numFmt w:val="bullet"/>
      <w:lvlText w:val="•"/>
      <w:lvlJc w:val="left"/>
      <w:pPr>
        <w:ind w:left="6139" w:hanging="320"/>
      </w:pPr>
      <w:rPr/>
    </w:lvl>
    <w:lvl w:ilvl="8">
      <w:start w:val="1"/>
      <w:numFmt w:val="bullet"/>
      <w:lvlText w:val="•"/>
      <w:lvlJc w:val="left"/>
      <w:pPr>
        <w:ind w:left="7001" w:hanging="3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2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